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07D" w:rsidRPr="00377BBF" w:rsidRDefault="008A707D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hAnsi="Arial" w:cs="Arial"/>
          <w:i/>
          <w:noProof/>
        </w:rPr>
        <w:drawing>
          <wp:inline distT="0" distB="0" distL="0" distR="0" wp14:anchorId="3ED2110A" wp14:editId="1BE47BD6">
            <wp:extent cx="1514475" cy="561975"/>
            <wp:effectExtent l="0" t="0" r="9525" b="9525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07D" w:rsidRPr="00377BBF" w:rsidRDefault="008A707D" w:rsidP="008A707D">
      <w:pPr>
        <w:widowControl w:val="0"/>
        <w:spacing w:after="240" w:line="240" w:lineRule="auto"/>
        <w:jc w:val="both"/>
        <w:rPr>
          <w:rFonts w:ascii="Arial" w:hAnsi="Arial" w:cs="Arial"/>
          <w:b/>
          <w:bCs/>
          <w:spacing w:val="2"/>
        </w:rPr>
      </w:pPr>
      <w:r w:rsidRPr="00377BBF">
        <w:rPr>
          <w:rFonts w:ascii="Arial" w:hAnsi="Arial" w:cs="Arial"/>
          <w:b/>
          <w:bCs/>
          <w:spacing w:val="2"/>
        </w:rPr>
        <w:t>INSTRUCCIONES METODOLOGICAS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 xml:space="preserve">FORMULARIO </w:t>
      </w:r>
      <w:r w:rsidR="00200F85" w:rsidRPr="00377BBF">
        <w:rPr>
          <w:rFonts w:ascii="Arial" w:eastAsia="Calibri" w:hAnsi="Arial" w:cs="Arial"/>
          <w:b/>
          <w:lang w:eastAsia="en-US"/>
        </w:rPr>
        <w:t>T 13</w:t>
      </w:r>
      <w:r w:rsidRPr="00377BBF">
        <w:rPr>
          <w:rFonts w:ascii="Arial" w:eastAsia="Calibri" w:hAnsi="Arial" w:cs="Arial"/>
          <w:b/>
          <w:lang w:eastAsia="en-US"/>
        </w:rPr>
        <w:t>-0</w:t>
      </w:r>
      <w:r w:rsidR="00F70CFF" w:rsidRPr="00377BBF">
        <w:rPr>
          <w:rFonts w:ascii="Arial" w:eastAsia="Calibri" w:hAnsi="Arial" w:cs="Arial"/>
          <w:b/>
          <w:lang w:eastAsia="en-US"/>
        </w:rPr>
        <w:t>1</w:t>
      </w:r>
      <w:r w:rsidR="008A707D" w:rsidRPr="00377BBF">
        <w:rPr>
          <w:rFonts w:ascii="Arial" w:eastAsia="Calibri" w:hAnsi="Arial" w:cs="Arial"/>
          <w:b/>
          <w:lang w:eastAsia="en-US"/>
        </w:rPr>
        <w:t xml:space="preserve"> </w:t>
      </w:r>
      <w:r w:rsidR="00EC713B" w:rsidRPr="00377BBF">
        <w:rPr>
          <w:rFonts w:ascii="Arial" w:eastAsia="Calibri" w:hAnsi="Arial" w:cs="Arial"/>
          <w:b/>
          <w:lang w:eastAsia="en-US"/>
        </w:rPr>
        <w:t>“</w:t>
      </w:r>
      <w:r w:rsidRPr="00377BBF">
        <w:rPr>
          <w:rFonts w:ascii="Arial" w:eastAsia="Calibri" w:hAnsi="Arial" w:cs="Arial"/>
          <w:b/>
          <w:lang w:eastAsia="en-US"/>
        </w:rPr>
        <w:t>CONSUMO INTERMEDIO DE PRODUCTOS</w:t>
      </w:r>
      <w:r w:rsidR="00EC713B" w:rsidRPr="00377BBF">
        <w:rPr>
          <w:rFonts w:ascii="Arial" w:eastAsia="Calibri" w:hAnsi="Arial" w:cs="Arial"/>
          <w:b/>
          <w:lang w:eastAsia="en-US"/>
        </w:rPr>
        <w:t>”</w:t>
      </w:r>
      <w:r w:rsidRPr="00377BBF">
        <w:rPr>
          <w:rFonts w:ascii="Arial" w:eastAsia="Calibri" w:hAnsi="Arial" w:cs="Arial"/>
          <w:b/>
          <w:lang w:eastAsia="en-US"/>
        </w:rPr>
        <w:t xml:space="preserve"> 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I. OBJETIVOS</w:t>
      </w:r>
    </w:p>
    <w:p w:rsidR="00CB6A21" w:rsidRPr="00377BBF" w:rsidRDefault="00CB6A21" w:rsidP="00CB6A21">
      <w:pPr>
        <w:spacing w:after="240" w:line="240" w:lineRule="auto"/>
        <w:jc w:val="both"/>
        <w:rPr>
          <w:rFonts w:ascii="Arial" w:hAnsi="Arial" w:cs="Arial"/>
        </w:rPr>
      </w:pPr>
      <w:r w:rsidRPr="00377BBF">
        <w:rPr>
          <w:rFonts w:ascii="Arial" w:hAnsi="Arial" w:cs="Arial"/>
        </w:rPr>
        <w:t>Disponer de estadísticas de producción de bienes y servicios que facilite la toma de decisiones de las autoridades municipales y provinciales.</w:t>
      </w:r>
    </w:p>
    <w:p w:rsidR="00EA0540" w:rsidRPr="00377BBF" w:rsidRDefault="00CB6A21" w:rsidP="00CB6A21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hAnsi="Arial" w:cs="Arial"/>
        </w:rPr>
        <w:t>Disponer de información de producción de bienes y servicios para elaborar el Producto Interno Bruto a nivel regional y nacional.</w:t>
      </w:r>
    </w:p>
    <w:p w:rsidR="00EA0540" w:rsidRPr="00377BBF" w:rsidRDefault="00EA0540" w:rsidP="008A707D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II. CARACTERIZACIÓN</w:t>
      </w:r>
    </w:p>
    <w:p w:rsidR="00355E7F" w:rsidRPr="00377BBF" w:rsidRDefault="008A707D" w:rsidP="00355E7F">
      <w:pPr>
        <w:tabs>
          <w:tab w:val="left" w:pos="1701"/>
        </w:tabs>
        <w:spacing w:after="240"/>
        <w:ind w:left="1276" w:hanging="1058"/>
        <w:jc w:val="both"/>
        <w:rPr>
          <w:rFonts w:ascii="Arial" w:hAnsi="Arial" w:cs="Arial"/>
        </w:rPr>
      </w:pPr>
      <w:r w:rsidRPr="00377BBF">
        <w:rPr>
          <w:rFonts w:ascii="Arial" w:eastAsia="Calibri" w:hAnsi="Arial" w:cs="Arial"/>
          <w:lang w:eastAsia="en-US"/>
        </w:rPr>
        <w:t xml:space="preserve">Universo: </w:t>
      </w:r>
      <w:r w:rsidR="006F3C7E" w:rsidRPr="00377BBF">
        <w:rPr>
          <w:rFonts w:ascii="Arial" w:hAnsi="Arial" w:cs="Arial"/>
        </w:rPr>
        <w:t>Se reporta</w:t>
      </w:r>
      <w:r w:rsidR="00CB6A21" w:rsidRPr="00377BBF">
        <w:rPr>
          <w:rFonts w:ascii="Arial" w:hAnsi="Arial" w:cs="Arial"/>
        </w:rPr>
        <w:t xml:space="preserve"> </w:t>
      </w:r>
      <w:r w:rsidR="00355E7F" w:rsidRPr="00377BBF">
        <w:rPr>
          <w:rFonts w:ascii="Arial" w:hAnsi="Arial" w:cs="Arial"/>
        </w:rPr>
        <w:t xml:space="preserve">solamente </w:t>
      </w:r>
      <w:r w:rsidR="00CB6A21" w:rsidRPr="00377BBF">
        <w:rPr>
          <w:rFonts w:ascii="Arial" w:hAnsi="Arial" w:cs="Arial"/>
        </w:rPr>
        <w:t xml:space="preserve">por los establecimientos </w:t>
      </w:r>
      <w:r w:rsidR="00355E7F" w:rsidRPr="00377BBF">
        <w:rPr>
          <w:rFonts w:ascii="Arial" w:hAnsi="Arial" w:cs="Arial"/>
        </w:rPr>
        <w:t>de inclusión forzosa enclavados en el municipio que puedan respaldar la declaración de las estadísticas territoriales con el balance de comprobación de saldo u otro registro contable. Se excluyen los establecimientos de las empresas municipales.</w:t>
      </w:r>
    </w:p>
    <w:p w:rsidR="00355E7F" w:rsidRPr="00377BBF" w:rsidRDefault="00355E7F" w:rsidP="00355E7F">
      <w:pPr>
        <w:tabs>
          <w:tab w:val="left" w:pos="1701"/>
        </w:tabs>
        <w:spacing w:after="240"/>
        <w:ind w:left="1276"/>
        <w:jc w:val="both"/>
        <w:rPr>
          <w:rFonts w:ascii="Arial" w:hAnsi="Arial" w:cs="Arial"/>
        </w:rPr>
      </w:pPr>
      <w:r w:rsidRPr="00377BBF">
        <w:rPr>
          <w:rFonts w:ascii="Arial" w:hAnsi="Arial" w:cs="Arial"/>
        </w:rPr>
        <w:t>Los establecimientos de inclusión forzosa, son aquellos definidos por la oficina central de la ONEI por su importancia en la actividad económica del país o en el territorio.  Estos establecimientos deben ser objeto de especial atención en cuanto a su cobertura y calidad.</w:t>
      </w:r>
    </w:p>
    <w:p w:rsidR="00CB6A21" w:rsidRPr="00377BBF" w:rsidRDefault="00CB6A21" w:rsidP="00CB6A21">
      <w:pPr>
        <w:tabs>
          <w:tab w:val="left" w:pos="567"/>
        </w:tabs>
        <w:spacing w:after="240"/>
        <w:ind w:left="1276"/>
        <w:jc w:val="both"/>
        <w:rPr>
          <w:rFonts w:ascii="Arial" w:hAnsi="Arial" w:cs="Arial"/>
          <w:lang w:val="es-ES_tradnl"/>
        </w:rPr>
      </w:pPr>
      <w:r w:rsidRPr="00377BBF">
        <w:rPr>
          <w:rFonts w:ascii="Arial" w:hAnsi="Arial" w:cs="Arial"/>
          <w:lang w:val="es-ES_tradnl"/>
        </w:rPr>
        <w:t xml:space="preserve">Se entenderá como un </w:t>
      </w:r>
      <w:r w:rsidRPr="00377BBF">
        <w:rPr>
          <w:rFonts w:ascii="Arial" w:hAnsi="Arial" w:cs="Arial"/>
          <w:b/>
          <w:lang w:val="es-ES_tradnl"/>
        </w:rPr>
        <w:t>establecimiento</w:t>
      </w:r>
      <w:r w:rsidRPr="00377BBF">
        <w:rPr>
          <w:rFonts w:ascii="Arial" w:hAnsi="Arial" w:cs="Arial"/>
          <w:lang w:val="es-ES_tradnl"/>
        </w:rPr>
        <w:t xml:space="preserve"> 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5"/>
        </w:rPr>
        <w:t xml:space="preserve"> </w:t>
      </w:r>
      <w:r w:rsidRPr="00377BBF">
        <w:rPr>
          <w:rFonts w:ascii="Arial" w:hAnsi="Arial" w:cs="Arial"/>
        </w:rPr>
        <w:t>u</w:t>
      </w:r>
      <w:r w:rsidRPr="00377BBF">
        <w:rPr>
          <w:rFonts w:ascii="Arial" w:hAnsi="Arial" w:cs="Arial"/>
          <w:spacing w:val="-1"/>
        </w:rPr>
        <w:t>n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3"/>
        </w:rPr>
        <w:t xml:space="preserve"> </w:t>
      </w:r>
      <w:r w:rsidRPr="00377BBF">
        <w:rPr>
          <w:rFonts w:ascii="Arial" w:hAnsi="Arial" w:cs="Arial"/>
          <w:spacing w:val="2"/>
        </w:rPr>
        <w:t>p</w:t>
      </w:r>
      <w:r w:rsidRPr="00377BBF">
        <w:rPr>
          <w:rFonts w:ascii="Arial" w:hAnsi="Arial" w:cs="Arial"/>
        </w:rPr>
        <w:t>ar</w:t>
      </w:r>
      <w:r w:rsidRPr="00377BBF">
        <w:rPr>
          <w:rFonts w:ascii="Arial" w:hAnsi="Arial" w:cs="Arial"/>
          <w:spacing w:val="3"/>
        </w:rPr>
        <w:t>t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2"/>
        </w:rPr>
        <w:t xml:space="preserve"> u</w:t>
      </w:r>
      <w:r w:rsidRPr="00377BBF">
        <w:rPr>
          <w:rFonts w:ascii="Arial" w:hAnsi="Arial" w:cs="Arial"/>
        </w:rPr>
        <w:t>na</w:t>
      </w:r>
      <w:r w:rsidRPr="00377BBF">
        <w:rPr>
          <w:rFonts w:ascii="Arial" w:hAnsi="Arial" w:cs="Arial"/>
          <w:spacing w:val="3"/>
        </w:rPr>
        <w:t xml:space="preserve"> 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</w:rPr>
        <w:t>pre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  <w:spacing w:val="3"/>
        </w:rPr>
        <w:t>a</w:t>
      </w:r>
      <w:r w:rsidRPr="00377BBF">
        <w:rPr>
          <w:rFonts w:ascii="Arial" w:hAnsi="Arial" w:cs="Arial"/>
        </w:rPr>
        <w:t>,</w:t>
      </w:r>
      <w:r w:rsidRPr="00377BBF">
        <w:rPr>
          <w:rFonts w:ascii="Arial" w:hAnsi="Arial" w:cs="Arial"/>
          <w:spacing w:val="-4"/>
        </w:rPr>
        <w:t xml:space="preserve"> 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2"/>
        </w:rPr>
        <w:t>u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1"/>
        </w:rPr>
        <w:t>d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2"/>
        </w:rPr>
        <w:t xml:space="preserve"> </w:t>
      </w:r>
      <w:r w:rsidRPr="00377BBF">
        <w:rPr>
          <w:rFonts w:ascii="Arial" w:hAnsi="Arial" w:cs="Arial"/>
        </w:rPr>
        <w:t>en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un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ú</w:t>
      </w:r>
      <w:r w:rsidRPr="00377BBF">
        <w:rPr>
          <w:rFonts w:ascii="Arial" w:hAnsi="Arial" w:cs="Arial"/>
          <w:spacing w:val="1"/>
        </w:rPr>
        <w:t>n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o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</w:rPr>
        <w:t>p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  <w:spacing w:val="2"/>
        </w:rPr>
        <w:t>a</w:t>
      </w:r>
      <w:r w:rsidRPr="00377BBF">
        <w:rPr>
          <w:rFonts w:ascii="Arial" w:hAnsi="Arial" w:cs="Arial"/>
          <w:spacing w:val="-1"/>
        </w:rPr>
        <w:t>z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-1"/>
        </w:rPr>
        <w:t>n</w:t>
      </w:r>
      <w:r w:rsidRPr="00377BBF">
        <w:rPr>
          <w:rFonts w:ascii="Arial" w:hAnsi="Arial" w:cs="Arial"/>
          <w:spacing w:val="2"/>
        </w:rPr>
        <w:t>t</w:t>
      </w:r>
      <w:r w:rsidRPr="00377BBF">
        <w:rPr>
          <w:rFonts w:ascii="Arial" w:hAnsi="Arial" w:cs="Arial"/>
          <w:spacing w:val="4"/>
        </w:rPr>
        <w:t>o</w:t>
      </w:r>
      <w:r w:rsidRPr="00377BBF">
        <w:rPr>
          <w:rFonts w:ascii="Arial" w:hAnsi="Arial" w:cs="Arial"/>
        </w:rPr>
        <w:t>,</w:t>
      </w:r>
      <w:r w:rsidRPr="00377BBF">
        <w:rPr>
          <w:rFonts w:ascii="Arial" w:hAnsi="Arial" w:cs="Arial"/>
          <w:spacing w:val="-10"/>
        </w:rPr>
        <w:t xml:space="preserve"> </w:t>
      </w:r>
      <w:r w:rsidRPr="00377BBF">
        <w:rPr>
          <w:rFonts w:ascii="Arial" w:hAnsi="Arial" w:cs="Arial"/>
          <w:spacing w:val="2"/>
        </w:rPr>
        <w:t>e</w:t>
      </w:r>
      <w:r w:rsidRPr="00377BBF">
        <w:rPr>
          <w:rFonts w:ascii="Arial" w:hAnsi="Arial" w:cs="Arial"/>
        </w:rPr>
        <w:t>n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el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</w:rPr>
        <w:t>q</w:t>
      </w:r>
      <w:r w:rsidRPr="00377BBF">
        <w:rPr>
          <w:rFonts w:ascii="Arial" w:hAnsi="Arial" w:cs="Arial"/>
          <w:spacing w:val="1"/>
        </w:rPr>
        <w:t>u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 xml:space="preserve"> s</w:t>
      </w:r>
      <w:r w:rsidRPr="00377BBF">
        <w:rPr>
          <w:rFonts w:ascii="Arial" w:hAnsi="Arial" w:cs="Arial"/>
          <w:spacing w:val="2"/>
        </w:rPr>
        <w:t>ó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 xml:space="preserve">o 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4"/>
        </w:rPr>
        <w:t xml:space="preserve"> </w:t>
      </w:r>
      <w:r w:rsidRPr="00377BBF">
        <w:rPr>
          <w:rFonts w:ascii="Arial" w:hAnsi="Arial" w:cs="Arial"/>
          <w:spacing w:val="1"/>
        </w:rPr>
        <w:t>r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>a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  <w:spacing w:val="-1"/>
        </w:rPr>
        <w:t>z</w:t>
      </w:r>
      <w:r w:rsidRPr="00377BBF">
        <w:rPr>
          <w:rFonts w:ascii="Arial" w:hAnsi="Arial" w:cs="Arial"/>
        </w:rPr>
        <w:t>a u</w:t>
      </w:r>
      <w:r w:rsidRPr="00377BBF">
        <w:rPr>
          <w:rFonts w:ascii="Arial" w:hAnsi="Arial" w:cs="Arial"/>
          <w:spacing w:val="1"/>
        </w:rPr>
        <w:t>n</w:t>
      </w:r>
      <w:r w:rsidRPr="00377BBF">
        <w:rPr>
          <w:rFonts w:ascii="Arial" w:hAnsi="Arial" w:cs="Arial"/>
        </w:rPr>
        <w:t>a a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1"/>
        </w:rPr>
        <w:t>v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ad</w:t>
      </w:r>
      <w:r w:rsidRPr="00377BBF">
        <w:rPr>
          <w:rFonts w:ascii="Arial" w:hAnsi="Arial" w:cs="Arial"/>
          <w:spacing w:val="-9"/>
        </w:rPr>
        <w:t xml:space="preserve"> </w:t>
      </w:r>
      <w:r w:rsidRPr="00377BBF">
        <w:rPr>
          <w:rFonts w:ascii="Arial" w:hAnsi="Arial" w:cs="Arial"/>
        </w:rPr>
        <w:t>p</w:t>
      </w:r>
      <w:r w:rsidRPr="00377BBF">
        <w:rPr>
          <w:rFonts w:ascii="Arial" w:hAnsi="Arial" w:cs="Arial"/>
          <w:spacing w:val="3"/>
        </w:rPr>
        <w:t>r</w:t>
      </w:r>
      <w:r w:rsidRPr="00377BBF">
        <w:rPr>
          <w:rFonts w:ascii="Arial" w:hAnsi="Arial" w:cs="Arial"/>
        </w:rPr>
        <w:t>o</w:t>
      </w:r>
      <w:r w:rsidRPr="00377BBF">
        <w:rPr>
          <w:rFonts w:ascii="Arial" w:hAnsi="Arial" w:cs="Arial"/>
          <w:spacing w:val="-1"/>
        </w:rPr>
        <w:t>d</w:t>
      </w:r>
      <w:r w:rsidRPr="00377BBF">
        <w:rPr>
          <w:rFonts w:ascii="Arial" w:hAnsi="Arial" w:cs="Arial"/>
        </w:rPr>
        <w:t>u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  <w:spacing w:val="2"/>
        </w:rPr>
        <w:t>t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  <w:spacing w:val="1"/>
        </w:rPr>
        <w:t>v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9"/>
        </w:rPr>
        <w:t xml:space="preserve"> </w:t>
      </w:r>
      <w:r w:rsidRPr="00377BBF">
        <w:rPr>
          <w:rFonts w:ascii="Arial" w:hAnsi="Arial" w:cs="Arial"/>
        </w:rPr>
        <w:t>o en</w:t>
      </w:r>
      <w:r w:rsidRPr="00377BBF">
        <w:rPr>
          <w:rFonts w:ascii="Arial" w:hAnsi="Arial" w:cs="Arial"/>
          <w:spacing w:val="-3"/>
        </w:rPr>
        <w:t xml:space="preserve"> </w:t>
      </w:r>
      <w:r w:rsidRPr="00377BBF">
        <w:rPr>
          <w:rFonts w:ascii="Arial" w:hAnsi="Arial" w:cs="Arial"/>
          <w:spacing w:val="2"/>
        </w:rPr>
        <w:t>e</w:t>
      </w:r>
      <w:r w:rsidRPr="00377BBF">
        <w:rPr>
          <w:rFonts w:ascii="Arial" w:hAnsi="Arial" w:cs="Arial"/>
        </w:rPr>
        <w:t>l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</w:rPr>
        <w:t>q</w:t>
      </w:r>
      <w:r w:rsidRPr="00377BBF">
        <w:rPr>
          <w:rFonts w:ascii="Arial" w:hAnsi="Arial" w:cs="Arial"/>
          <w:spacing w:val="-1"/>
        </w:rPr>
        <w:t>u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-2"/>
        </w:rPr>
        <w:t xml:space="preserve"> 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1"/>
        </w:rPr>
        <w:t xml:space="preserve"> 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  <w:spacing w:val="-1"/>
        </w:rPr>
        <w:t>v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</w:rPr>
        <w:t>d</w:t>
      </w:r>
      <w:r w:rsidRPr="00377BBF">
        <w:rPr>
          <w:rFonts w:ascii="Arial" w:hAnsi="Arial" w:cs="Arial"/>
          <w:spacing w:val="-1"/>
        </w:rPr>
        <w:t>a</w:t>
      </w:r>
      <w:r w:rsidRPr="00377BBF">
        <w:rPr>
          <w:rFonts w:ascii="Arial" w:hAnsi="Arial" w:cs="Arial"/>
        </w:rPr>
        <w:t>d</w:t>
      </w:r>
      <w:r w:rsidRPr="00377BBF">
        <w:rPr>
          <w:rFonts w:ascii="Arial" w:hAnsi="Arial" w:cs="Arial"/>
          <w:spacing w:val="-7"/>
        </w:rPr>
        <w:t xml:space="preserve"> </w:t>
      </w:r>
      <w:r w:rsidRPr="00377BBF">
        <w:rPr>
          <w:rFonts w:ascii="Arial" w:hAnsi="Arial" w:cs="Arial"/>
        </w:rPr>
        <w:t>pro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u</w:t>
      </w:r>
      <w:r w:rsidRPr="00377BBF">
        <w:rPr>
          <w:rFonts w:ascii="Arial" w:hAnsi="Arial" w:cs="Arial"/>
          <w:spacing w:val="1"/>
        </w:rPr>
        <w:t>c</w:t>
      </w:r>
      <w:r w:rsidRPr="00377BBF">
        <w:rPr>
          <w:rFonts w:ascii="Arial" w:hAnsi="Arial" w:cs="Arial"/>
        </w:rPr>
        <w:t>t</w:t>
      </w:r>
      <w:r w:rsidRPr="00377BBF">
        <w:rPr>
          <w:rFonts w:ascii="Arial" w:hAnsi="Arial" w:cs="Arial"/>
          <w:spacing w:val="1"/>
        </w:rPr>
        <w:t>i</w:t>
      </w:r>
      <w:r w:rsidRPr="00377BBF">
        <w:rPr>
          <w:rFonts w:ascii="Arial" w:hAnsi="Arial" w:cs="Arial"/>
          <w:spacing w:val="-1"/>
        </w:rPr>
        <w:t>v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7"/>
        </w:rPr>
        <w:t xml:space="preserve"> </w:t>
      </w:r>
      <w:r w:rsidRPr="00377BBF">
        <w:rPr>
          <w:rFonts w:ascii="Arial" w:hAnsi="Arial" w:cs="Arial"/>
        </w:rPr>
        <w:t>pr</w:t>
      </w:r>
      <w:r w:rsidRPr="00377BBF">
        <w:rPr>
          <w:rFonts w:ascii="Arial" w:hAnsi="Arial" w:cs="Arial"/>
          <w:spacing w:val="-1"/>
        </w:rPr>
        <w:t>i</w:t>
      </w:r>
      <w:r w:rsidRPr="00377BBF">
        <w:rPr>
          <w:rFonts w:ascii="Arial" w:hAnsi="Arial" w:cs="Arial"/>
        </w:rPr>
        <w:t>n</w:t>
      </w:r>
      <w:r w:rsidRPr="00377BBF">
        <w:rPr>
          <w:rFonts w:ascii="Arial" w:hAnsi="Arial" w:cs="Arial"/>
          <w:spacing w:val="1"/>
        </w:rPr>
        <w:t>ci</w:t>
      </w:r>
      <w:r w:rsidRPr="00377BBF">
        <w:rPr>
          <w:rFonts w:ascii="Arial" w:hAnsi="Arial" w:cs="Arial"/>
        </w:rPr>
        <w:t>p</w:t>
      </w:r>
      <w:r w:rsidRPr="00377BBF">
        <w:rPr>
          <w:rFonts w:ascii="Arial" w:hAnsi="Arial" w:cs="Arial"/>
          <w:spacing w:val="1"/>
        </w:rPr>
        <w:t>a</w:t>
      </w:r>
      <w:r w:rsidRPr="00377BBF">
        <w:rPr>
          <w:rFonts w:ascii="Arial" w:hAnsi="Arial" w:cs="Arial"/>
        </w:rPr>
        <w:t>l</w:t>
      </w:r>
      <w:r w:rsidRPr="00377BBF">
        <w:rPr>
          <w:rFonts w:ascii="Arial" w:hAnsi="Arial" w:cs="Arial"/>
          <w:spacing w:val="-8"/>
        </w:rPr>
        <w:t xml:space="preserve"> </w:t>
      </w:r>
      <w:r w:rsidRPr="00377BBF">
        <w:rPr>
          <w:rFonts w:ascii="Arial" w:hAnsi="Arial" w:cs="Arial"/>
        </w:rPr>
        <w:t>re</w:t>
      </w:r>
      <w:r w:rsidRPr="00377BBF">
        <w:rPr>
          <w:rFonts w:ascii="Arial" w:hAnsi="Arial" w:cs="Arial"/>
          <w:spacing w:val="-1"/>
        </w:rPr>
        <w:t>p</w:t>
      </w:r>
      <w:r w:rsidRPr="00377BBF">
        <w:rPr>
          <w:rFonts w:ascii="Arial" w:hAnsi="Arial" w:cs="Arial"/>
          <w:spacing w:val="1"/>
        </w:rPr>
        <w:t>r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>s</w:t>
      </w:r>
      <w:r w:rsidRPr="00377BBF">
        <w:rPr>
          <w:rFonts w:ascii="Arial" w:hAnsi="Arial" w:cs="Arial"/>
          <w:spacing w:val="2"/>
        </w:rPr>
        <w:t>e</w:t>
      </w:r>
      <w:r w:rsidRPr="00377BBF">
        <w:rPr>
          <w:rFonts w:ascii="Arial" w:hAnsi="Arial" w:cs="Arial"/>
        </w:rPr>
        <w:t>nta</w:t>
      </w:r>
      <w:r w:rsidRPr="00377BBF">
        <w:rPr>
          <w:rFonts w:ascii="Arial" w:hAnsi="Arial" w:cs="Arial"/>
          <w:spacing w:val="-9"/>
        </w:rPr>
        <w:t xml:space="preserve"> 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2"/>
        </w:rPr>
        <w:t xml:space="preserve"> </w:t>
      </w:r>
      <w:r w:rsidRPr="00377BBF">
        <w:rPr>
          <w:rFonts w:ascii="Arial" w:hAnsi="Arial" w:cs="Arial"/>
          <w:spacing w:val="4"/>
        </w:rPr>
        <w:t>m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4"/>
        </w:rPr>
        <w:t>y</w:t>
      </w:r>
      <w:r w:rsidRPr="00377BBF">
        <w:rPr>
          <w:rFonts w:ascii="Arial" w:hAnsi="Arial" w:cs="Arial"/>
          <w:spacing w:val="2"/>
        </w:rPr>
        <w:t>o</w:t>
      </w:r>
      <w:r w:rsidRPr="00377BBF">
        <w:rPr>
          <w:rFonts w:ascii="Arial" w:hAnsi="Arial" w:cs="Arial"/>
        </w:rPr>
        <w:t>r</w:t>
      </w:r>
      <w:r w:rsidRPr="00377BBF">
        <w:rPr>
          <w:rFonts w:ascii="Arial" w:hAnsi="Arial" w:cs="Arial"/>
          <w:spacing w:val="3"/>
        </w:rPr>
        <w:t xml:space="preserve"> </w:t>
      </w:r>
      <w:r w:rsidRPr="00377BBF">
        <w:rPr>
          <w:rFonts w:ascii="Arial" w:hAnsi="Arial" w:cs="Arial"/>
          <w:spacing w:val="2"/>
        </w:rPr>
        <w:t>p</w:t>
      </w:r>
      <w:r w:rsidRPr="00377BBF">
        <w:rPr>
          <w:rFonts w:ascii="Arial" w:hAnsi="Arial" w:cs="Arial"/>
        </w:rPr>
        <w:t>arte</w:t>
      </w:r>
      <w:r w:rsidRPr="00377BBF">
        <w:rPr>
          <w:rFonts w:ascii="Arial" w:hAnsi="Arial" w:cs="Arial"/>
          <w:spacing w:val="-5"/>
        </w:rPr>
        <w:t xml:space="preserve"> </w:t>
      </w:r>
      <w:r w:rsidRPr="00377BBF">
        <w:rPr>
          <w:rFonts w:ascii="Arial" w:hAnsi="Arial" w:cs="Arial"/>
          <w:spacing w:val="2"/>
        </w:rPr>
        <w:t>d</w:t>
      </w:r>
      <w:r w:rsidRPr="00377BBF">
        <w:rPr>
          <w:rFonts w:ascii="Arial" w:hAnsi="Arial" w:cs="Arial"/>
        </w:rPr>
        <w:t>el</w:t>
      </w:r>
      <w:r w:rsidRPr="00377BBF">
        <w:rPr>
          <w:rFonts w:ascii="Arial" w:hAnsi="Arial" w:cs="Arial"/>
          <w:spacing w:val="-3"/>
        </w:rPr>
        <w:t xml:space="preserve"> </w:t>
      </w:r>
      <w:r w:rsidRPr="00377BBF">
        <w:rPr>
          <w:rFonts w:ascii="Arial" w:hAnsi="Arial" w:cs="Arial"/>
          <w:spacing w:val="-1"/>
        </w:rPr>
        <w:t>v</w:t>
      </w:r>
      <w:r w:rsidRPr="00377BBF">
        <w:rPr>
          <w:rFonts w:ascii="Arial" w:hAnsi="Arial" w:cs="Arial"/>
          <w:spacing w:val="2"/>
        </w:rPr>
        <w:t>a</w:t>
      </w:r>
      <w:r w:rsidRPr="00377BBF">
        <w:rPr>
          <w:rFonts w:ascii="Arial" w:hAnsi="Arial" w:cs="Arial"/>
          <w:spacing w:val="-1"/>
        </w:rPr>
        <w:t>l</w:t>
      </w:r>
      <w:r w:rsidRPr="00377BBF">
        <w:rPr>
          <w:rFonts w:ascii="Arial" w:hAnsi="Arial" w:cs="Arial"/>
        </w:rPr>
        <w:t>or</w:t>
      </w:r>
      <w:r w:rsidRPr="00377BBF">
        <w:rPr>
          <w:rFonts w:ascii="Arial" w:hAnsi="Arial" w:cs="Arial"/>
          <w:spacing w:val="-2"/>
        </w:rPr>
        <w:t xml:space="preserve"> 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-1"/>
        </w:rPr>
        <w:t>g</w:t>
      </w:r>
      <w:r w:rsidRPr="00377BBF">
        <w:rPr>
          <w:rFonts w:ascii="Arial" w:hAnsi="Arial" w:cs="Arial"/>
          <w:spacing w:val="1"/>
        </w:rPr>
        <w:t>r</w:t>
      </w:r>
      <w:r w:rsidRPr="00377BBF">
        <w:rPr>
          <w:rFonts w:ascii="Arial" w:hAnsi="Arial" w:cs="Arial"/>
        </w:rPr>
        <w:t>e</w:t>
      </w:r>
      <w:r w:rsidRPr="00377BBF">
        <w:rPr>
          <w:rFonts w:ascii="Arial" w:hAnsi="Arial" w:cs="Arial"/>
          <w:spacing w:val="1"/>
        </w:rPr>
        <w:t>g</w:t>
      </w:r>
      <w:r w:rsidRPr="00377BBF">
        <w:rPr>
          <w:rFonts w:ascii="Arial" w:hAnsi="Arial" w:cs="Arial"/>
        </w:rPr>
        <w:t>a</w:t>
      </w:r>
      <w:r w:rsidRPr="00377BBF">
        <w:rPr>
          <w:rFonts w:ascii="Arial" w:hAnsi="Arial" w:cs="Arial"/>
          <w:spacing w:val="1"/>
        </w:rPr>
        <w:t>d</w:t>
      </w:r>
      <w:r w:rsidRPr="00377BBF">
        <w:rPr>
          <w:rFonts w:ascii="Arial" w:hAnsi="Arial" w:cs="Arial"/>
        </w:rPr>
        <w:t>o.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Variantes: No tiene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Periodicidad: Anual.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Unidad de Medida: La asociada a cada producto, con dos decimales.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III. INSTRUCCIONES GENERALES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A este formulario le es </w:t>
      </w:r>
      <w:r w:rsidR="0033045A" w:rsidRPr="00377BBF">
        <w:rPr>
          <w:rFonts w:ascii="Arial" w:eastAsia="Calibri" w:hAnsi="Arial" w:cs="Arial"/>
          <w:lang w:eastAsia="en-US"/>
        </w:rPr>
        <w:t xml:space="preserve">aplicable la Instrucción </w:t>
      </w:r>
      <w:r w:rsidR="00EC713B" w:rsidRPr="00377BBF">
        <w:rPr>
          <w:rFonts w:ascii="Arial" w:eastAsia="Calibri" w:hAnsi="Arial" w:cs="Arial"/>
          <w:lang w:eastAsia="en-US"/>
        </w:rPr>
        <w:t xml:space="preserve">Metodológica </w:t>
      </w:r>
      <w:r w:rsidR="0033045A" w:rsidRPr="00377BBF">
        <w:rPr>
          <w:rFonts w:ascii="Arial" w:eastAsia="Calibri" w:hAnsi="Arial" w:cs="Arial"/>
          <w:lang w:eastAsia="en-US"/>
        </w:rPr>
        <w:t>G</w:t>
      </w:r>
      <w:r w:rsidR="006F3C7E" w:rsidRPr="00377BBF">
        <w:rPr>
          <w:rFonts w:ascii="Arial" w:eastAsia="Calibri" w:hAnsi="Arial" w:cs="Arial"/>
          <w:lang w:eastAsia="en-US"/>
        </w:rPr>
        <w:t>eneral</w:t>
      </w:r>
      <w:r w:rsidRPr="00377BBF">
        <w:rPr>
          <w:rFonts w:ascii="Arial" w:eastAsia="Calibri" w:hAnsi="Arial" w:cs="Arial"/>
          <w:lang w:eastAsia="en-US"/>
        </w:rPr>
        <w:t>.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IV. DEFINICIONES METODOLÓGICAS</w:t>
      </w:r>
    </w:p>
    <w:p w:rsidR="006F3C7E" w:rsidRPr="00377BBF" w:rsidRDefault="006F3C7E" w:rsidP="006F3C7E">
      <w:pPr>
        <w:widowControl w:val="0"/>
        <w:autoSpaceDE w:val="0"/>
        <w:autoSpaceDN w:val="0"/>
        <w:adjustRightInd w:val="0"/>
        <w:spacing w:after="240" w:line="240" w:lineRule="auto"/>
        <w:jc w:val="both"/>
        <w:outlineLvl w:val="1"/>
        <w:rPr>
          <w:rFonts w:ascii="Arial" w:hAnsi="Arial" w:cs="Arial"/>
          <w:bCs/>
          <w:u w:val="single"/>
        </w:rPr>
      </w:pPr>
      <w:r w:rsidRPr="00377BBF">
        <w:rPr>
          <w:rFonts w:ascii="Arial" w:hAnsi="Arial" w:cs="Arial"/>
          <w:bCs/>
          <w:u w:val="single"/>
        </w:rPr>
        <w:t>De carácter general.</w:t>
      </w:r>
    </w:p>
    <w:p w:rsidR="006F3C7E" w:rsidRPr="00377BBF" w:rsidRDefault="006F3C7E" w:rsidP="006F3C7E">
      <w:pPr>
        <w:spacing w:after="240"/>
        <w:jc w:val="both"/>
        <w:rPr>
          <w:rFonts w:ascii="Arial" w:hAnsi="Arial" w:cs="Arial"/>
          <w:lang w:eastAsia="en-US"/>
        </w:rPr>
      </w:pPr>
      <w:r w:rsidRPr="00377BBF">
        <w:rPr>
          <w:rFonts w:ascii="Arial" w:hAnsi="Arial" w:cs="Arial"/>
          <w:b/>
          <w:lang w:eastAsia="en-US"/>
        </w:rPr>
        <w:t>Consumo intermedio o insumo:</w:t>
      </w:r>
      <w:r w:rsidRPr="00377BBF">
        <w:rPr>
          <w:rFonts w:ascii="Arial" w:hAnsi="Arial" w:cs="Arial"/>
          <w:lang w:eastAsia="en-US"/>
        </w:rPr>
        <w:t xml:space="preserve"> Son todos los bienes y servicios que se insumen en el proceso productivo. En general los insumos pierden sus propiedades y características para transformarse y formar parte del producto final.</w:t>
      </w:r>
    </w:p>
    <w:p w:rsidR="006F3C7E" w:rsidRPr="00377BBF" w:rsidRDefault="006F3C7E" w:rsidP="006F3C7E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1"/>
        </w:rPr>
      </w:pPr>
      <w:r w:rsidRPr="00377BBF">
        <w:rPr>
          <w:rFonts w:ascii="Arial" w:hAnsi="Arial" w:cs="Arial"/>
          <w:bCs/>
          <w:spacing w:val="-1"/>
        </w:rPr>
        <w:t>Para el caso de los servicios se le denomina así a los recursos de entrada al proceso cuyo flujo de salida es el servicio entregado.</w:t>
      </w:r>
    </w:p>
    <w:p w:rsidR="006F3C7E" w:rsidRPr="00377BBF" w:rsidRDefault="006F3C7E" w:rsidP="006F3C7E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1"/>
        </w:rPr>
      </w:pPr>
      <w:r w:rsidRPr="00377BBF">
        <w:rPr>
          <w:rFonts w:ascii="Arial" w:hAnsi="Arial" w:cs="Arial"/>
          <w:b/>
          <w:bCs/>
          <w:spacing w:val="-1"/>
        </w:rPr>
        <w:lastRenderedPageBreak/>
        <w:t>Autoinsumo:</w:t>
      </w:r>
      <w:r w:rsidRPr="00377BBF">
        <w:rPr>
          <w:rFonts w:ascii="Arial" w:hAnsi="Arial" w:cs="Arial"/>
          <w:bCs/>
          <w:spacing w:val="-1"/>
        </w:rPr>
        <w:t xml:space="preserve"> Son aquellos bienes y servicios que son producidos por la misma empresa que lo utilizará como materia prima para el proceso productivo. </w:t>
      </w:r>
    </w:p>
    <w:p w:rsidR="006F3C7E" w:rsidRPr="00377BBF" w:rsidRDefault="006F3C7E" w:rsidP="006F3C7E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  <w:spacing w:val="-1"/>
        </w:rPr>
      </w:pPr>
      <w:r w:rsidRPr="00377BBF">
        <w:rPr>
          <w:rFonts w:ascii="Arial" w:hAnsi="Arial" w:cs="Arial"/>
          <w:b/>
          <w:bCs/>
          <w:spacing w:val="-1"/>
        </w:rPr>
        <w:t>Autoconsumo</w:t>
      </w:r>
      <w:r w:rsidRPr="00377BBF">
        <w:rPr>
          <w:rFonts w:ascii="Arial" w:hAnsi="Arial" w:cs="Arial"/>
          <w:bCs/>
          <w:spacing w:val="-1"/>
        </w:rPr>
        <w:t>: Es aquel bien o servicio que se produce por la entidad para ser consumido fuera del ciclo productivo.</w:t>
      </w:r>
    </w:p>
    <w:p w:rsidR="00EA0540" w:rsidRPr="00377BBF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b/>
          <w:u w:val="single"/>
          <w:lang w:eastAsia="en-US"/>
        </w:rPr>
        <w:t>Por columnas</w:t>
      </w:r>
      <w:r w:rsidRPr="00377BBF">
        <w:rPr>
          <w:rFonts w:ascii="Arial" w:eastAsia="Calibri" w:hAnsi="Arial" w:cs="Arial"/>
          <w:u w:val="single"/>
          <w:lang w:eastAsia="en-US"/>
        </w:rPr>
        <w:t xml:space="preserve">: </w:t>
      </w:r>
    </w:p>
    <w:p w:rsidR="00EA0540" w:rsidRPr="00377BBF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Productos insumidos (columna A)</w:t>
      </w:r>
    </w:p>
    <w:p w:rsidR="004C2DFB" w:rsidRPr="00377BBF" w:rsidRDefault="00EA0540" w:rsidP="008A707D">
      <w:pPr>
        <w:spacing w:after="240" w:line="240" w:lineRule="auto"/>
        <w:jc w:val="both"/>
      </w:pPr>
      <w:r w:rsidRPr="00377BBF">
        <w:rPr>
          <w:rFonts w:ascii="Arial" w:eastAsia="Calibri" w:hAnsi="Arial" w:cs="Arial"/>
          <w:lang w:eastAsia="en-US"/>
        </w:rPr>
        <w:t xml:space="preserve">Se </w:t>
      </w:r>
      <w:r w:rsidR="004C2DFB" w:rsidRPr="00377BBF">
        <w:rPr>
          <w:rFonts w:ascii="Arial" w:eastAsia="Calibri" w:hAnsi="Arial" w:cs="Arial"/>
          <w:lang w:eastAsia="en-US"/>
        </w:rPr>
        <w:t>registran</w:t>
      </w:r>
      <w:r w:rsidRPr="00377BBF">
        <w:rPr>
          <w:rFonts w:ascii="Arial" w:eastAsia="Calibri" w:hAnsi="Arial" w:cs="Arial"/>
          <w:lang w:eastAsia="en-US"/>
        </w:rPr>
        <w:t xml:space="preserve"> en las filas en blanco </w:t>
      </w:r>
      <w:r w:rsidR="004C2DFB" w:rsidRPr="00377BBF">
        <w:rPr>
          <w:rFonts w:ascii="Arial" w:eastAsia="Calibri" w:hAnsi="Arial" w:cs="Arial"/>
          <w:lang w:eastAsia="en-US"/>
        </w:rPr>
        <w:t>los bienes y servicios utilizados durante el proceso de producción, ya sean productos adquiridos en el período o retirados del almacén según corresponda, de acuerdo a la nomenclatura</w:t>
      </w:r>
      <w:r w:rsidR="001077B2" w:rsidRPr="00377BBF">
        <w:rPr>
          <w:rFonts w:ascii="Arial" w:eastAsia="Calibri" w:hAnsi="Arial" w:cs="Arial"/>
          <w:lang w:eastAsia="en-US"/>
        </w:rPr>
        <w:t xml:space="preserve"> que se adjunta</w:t>
      </w:r>
      <w:r w:rsidR="00893673" w:rsidRPr="00377BBF">
        <w:rPr>
          <w:rFonts w:ascii="Arial" w:eastAsia="Calibri" w:hAnsi="Arial" w:cs="Arial"/>
          <w:lang w:eastAsia="en-US"/>
        </w:rPr>
        <w:t>.</w:t>
      </w:r>
      <w:r w:rsidR="004C2DFB" w:rsidRPr="00377BBF">
        <w:t xml:space="preserve"> </w:t>
      </w:r>
    </w:p>
    <w:p w:rsidR="00EA0540" w:rsidRPr="00377BBF" w:rsidRDefault="004C2DFB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Se incluyen los bienes producidos para autoconsumo y se excluyen los activos fijos cuyo consumo se registra como consumo de capital fijo.</w:t>
      </w:r>
    </w:p>
    <w:p w:rsidR="00EA0540" w:rsidRPr="00377BBF" w:rsidRDefault="006F3C7E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Fila</w:t>
      </w:r>
      <w:r w:rsidR="00EA0540" w:rsidRPr="00377BBF">
        <w:rPr>
          <w:rFonts w:ascii="Arial" w:eastAsia="Calibri" w:hAnsi="Arial" w:cs="Arial"/>
          <w:u w:val="single"/>
          <w:lang w:eastAsia="en-US"/>
        </w:rPr>
        <w:t xml:space="preserve"> (columna B)</w:t>
      </w:r>
    </w:p>
    <w:p w:rsidR="00F652E7" w:rsidRPr="00377BBF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Se inscribe el código que corresponda a cada </w:t>
      </w:r>
      <w:r w:rsidR="00F652E7" w:rsidRPr="00377BBF">
        <w:rPr>
          <w:rFonts w:ascii="Arial" w:eastAsia="Calibri" w:hAnsi="Arial" w:cs="Arial"/>
          <w:lang w:eastAsia="en-US"/>
        </w:rPr>
        <w:t>producto, según la nomenclatura.</w:t>
      </w:r>
    </w:p>
    <w:p w:rsidR="00EA0540" w:rsidRPr="00377BBF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Unidad de medida</w:t>
      </w:r>
      <w:r w:rsidR="006F3C7E" w:rsidRPr="00377BBF">
        <w:rPr>
          <w:rFonts w:ascii="Arial" w:eastAsia="Calibri" w:hAnsi="Arial" w:cs="Arial"/>
          <w:u w:val="single"/>
          <w:lang w:eastAsia="en-US"/>
        </w:rPr>
        <w:t xml:space="preserve"> (U.M.)</w:t>
      </w:r>
      <w:r w:rsidRPr="00377BBF">
        <w:rPr>
          <w:rFonts w:ascii="Arial" w:eastAsia="Calibri" w:hAnsi="Arial" w:cs="Arial"/>
          <w:u w:val="single"/>
          <w:lang w:eastAsia="en-US"/>
        </w:rPr>
        <w:t xml:space="preserve"> (columna C)</w:t>
      </w:r>
    </w:p>
    <w:p w:rsidR="00BA52CD" w:rsidRPr="00377BBF" w:rsidRDefault="00EA0540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Se inscribe la unidad de medida asociada a cada producto según la nomenclatura que aparece al final del último apartado. </w:t>
      </w:r>
      <w:r w:rsidR="00BA52CD" w:rsidRPr="00377BBF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</w:t>
      </w:r>
      <w:r w:rsidR="00BA52CD" w:rsidRPr="00377BBF">
        <w:rPr>
          <w:rFonts w:ascii="Arial" w:eastAsia="Calibri" w:hAnsi="Arial" w:cs="Arial"/>
          <w:u w:val="single"/>
          <w:lang w:eastAsia="en-US"/>
        </w:rPr>
        <w:t xml:space="preserve"> </w:t>
      </w:r>
    </w:p>
    <w:p w:rsidR="00EA0540" w:rsidRPr="00377BBF" w:rsidRDefault="006F3C7E" w:rsidP="008A707D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Físico</w:t>
      </w:r>
      <w:r w:rsidR="00EA0540" w:rsidRPr="00377BBF">
        <w:rPr>
          <w:rFonts w:ascii="Arial" w:eastAsia="Calibri" w:hAnsi="Arial" w:cs="Arial"/>
          <w:u w:val="single"/>
          <w:lang w:eastAsia="en-US"/>
        </w:rPr>
        <w:t xml:space="preserve"> (columna 1)</w:t>
      </w:r>
    </w:p>
    <w:p w:rsidR="00EA0540" w:rsidRPr="00377BBF" w:rsidRDefault="00463104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bookmarkStart w:id="0" w:name="OLE_LINK4"/>
      <w:bookmarkStart w:id="1" w:name="OLE_LINK5"/>
      <w:r w:rsidRPr="00377BBF">
        <w:rPr>
          <w:rFonts w:ascii="Arial" w:eastAsia="Calibri" w:hAnsi="Arial" w:cs="Arial"/>
          <w:lang w:eastAsia="en-US"/>
        </w:rPr>
        <w:t>Se informa la cantidad</w:t>
      </w:r>
      <w:r w:rsidR="00EA0540" w:rsidRPr="00377BBF">
        <w:rPr>
          <w:rFonts w:ascii="Arial" w:eastAsia="Calibri" w:hAnsi="Arial" w:cs="Arial"/>
          <w:lang w:eastAsia="en-US"/>
        </w:rPr>
        <w:t xml:space="preserve"> del producto insumido. </w:t>
      </w:r>
      <w:bookmarkEnd w:id="0"/>
      <w:bookmarkEnd w:id="1"/>
      <w:r w:rsidR="00EA0540" w:rsidRPr="00377BBF">
        <w:rPr>
          <w:rFonts w:ascii="Arial" w:eastAsia="Calibri" w:hAnsi="Arial" w:cs="Arial"/>
          <w:lang w:eastAsia="en-US"/>
        </w:rPr>
        <w:t>No se reporta esta columna en el caso de los servicios que no tienen asociado una unidad de medida en el nomenclador.</w:t>
      </w:r>
      <w:r w:rsidR="00BA52CD" w:rsidRPr="00377BBF">
        <w:rPr>
          <w:rFonts w:ascii="Arial" w:eastAsia="Calibri" w:hAnsi="Arial" w:cs="Arial"/>
          <w:lang w:eastAsia="en-US"/>
        </w:rPr>
        <w:t xml:space="preserve"> La cantidad se reporta con dos decimales.</w:t>
      </w:r>
    </w:p>
    <w:p w:rsidR="00EA0540" w:rsidRPr="00377BBF" w:rsidRDefault="00EA0540" w:rsidP="008A707D">
      <w:pPr>
        <w:tabs>
          <w:tab w:val="left" w:pos="1728"/>
          <w:tab w:val="left" w:pos="1800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 </w:t>
      </w:r>
      <w:r w:rsidRPr="00377BBF">
        <w:rPr>
          <w:rFonts w:ascii="Arial" w:eastAsia="Calibri" w:hAnsi="Arial" w:cs="Arial"/>
          <w:u w:val="single"/>
          <w:lang w:eastAsia="en-US"/>
        </w:rPr>
        <w:t>Valor (columna 2)</w:t>
      </w:r>
    </w:p>
    <w:p w:rsidR="00EA0540" w:rsidRPr="00377BBF" w:rsidRDefault="00EA0540" w:rsidP="008A707D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 xml:space="preserve">Se informa el valor del producto insumido </w:t>
      </w:r>
      <w:r w:rsidRPr="00377BBF">
        <w:rPr>
          <w:rFonts w:ascii="Arial" w:hAnsi="Arial" w:cs="Arial"/>
        </w:rPr>
        <w:t>en pesos (P) con dos decimales</w:t>
      </w:r>
      <w:r w:rsidRPr="00377BBF">
        <w:rPr>
          <w:rFonts w:ascii="Arial" w:eastAsia="Calibri" w:hAnsi="Arial" w:cs="Arial"/>
          <w:lang w:eastAsia="en-US"/>
        </w:rPr>
        <w:t>.</w:t>
      </w:r>
    </w:p>
    <w:p w:rsidR="006F3C7E" w:rsidRPr="00377BBF" w:rsidRDefault="006F3C7E" w:rsidP="006F3C7E">
      <w:pPr>
        <w:spacing w:after="240" w:line="240" w:lineRule="auto"/>
        <w:jc w:val="both"/>
        <w:outlineLvl w:val="0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Por filas.</w:t>
      </w:r>
    </w:p>
    <w:p w:rsidR="006F3C7E" w:rsidRPr="00377BBF" w:rsidRDefault="006F3C7E" w:rsidP="006F3C7E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Se reportan los indicadores de cada fila de acuerdo a los productos correspondientes del nomenclador adjunto.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V. NOMENCLATURA DE PRODUCTOS</w:t>
      </w:r>
    </w:p>
    <w:p w:rsidR="006F3C7E" w:rsidRPr="00377BBF" w:rsidRDefault="006F3C7E" w:rsidP="006F3C7E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Se detallan en documento aparte.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VI. REVISIÓN LÓGICA Y ARITMÉTICA</w:t>
      </w:r>
    </w:p>
    <w:p w:rsidR="006F3C7E" w:rsidRPr="00377BBF" w:rsidRDefault="006F3C7E" w:rsidP="006F3C7E">
      <w:pPr>
        <w:tabs>
          <w:tab w:val="left" w:pos="1800"/>
        </w:tabs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De carácter obligatorio (Reglas)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377BBF">
        <w:rPr>
          <w:rFonts w:ascii="Arial" w:eastAsia="Calibri" w:hAnsi="Arial" w:cs="Arial"/>
          <w:lang w:eastAsia="en-US"/>
        </w:rPr>
        <w:t>No puede haber números negativos.</w:t>
      </w:r>
    </w:p>
    <w:p w:rsidR="006F3C7E" w:rsidRPr="00377BBF" w:rsidRDefault="006F3C7E" w:rsidP="006F3C7E">
      <w:pPr>
        <w:spacing w:after="240" w:line="259" w:lineRule="auto"/>
        <w:rPr>
          <w:rFonts w:ascii="Arial" w:hAnsi="Arial" w:cs="Arial"/>
        </w:rPr>
      </w:pPr>
      <w:r w:rsidRPr="00377BBF">
        <w:rPr>
          <w:rFonts w:ascii="Arial" w:hAnsi="Arial" w:cs="Arial"/>
        </w:rPr>
        <w:t>Si la unidad de medida es pesos (P), no puede tener ninguna cifra en la columna físico, solo en la columna de valor.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hAnsi="Arial" w:cs="Arial"/>
        </w:rPr>
      </w:pPr>
      <w:r w:rsidRPr="00377BBF">
        <w:rPr>
          <w:rFonts w:ascii="Arial" w:hAnsi="Arial" w:cs="Arial"/>
        </w:rPr>
        <w:lastRenderedPageBreak/>
        <w:t>Si se reporta físico tiene que tener valor.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hAnsi="Arial" w:cs="Arial"/>
          <w:u w:val="single"/>
        </w:rPr>
      </w:pPr>
      <w:r w:rsidRPr="00377BBF">
        <w:rPr>
          <w:rFonts w:ascii="Arial" w:hAnsi="Arial" w:cs="Arial"/>
          <w:u w:val="single"/>
        </w:rPr>
        <w:t>De carácter analítico (Alertas)</w:t>
      </w:r>
    </w:p>
    <w:p w:rsidR="006F3C7E" w:rsidRPr="00377BBF" w:rsidRDefault="006F3C7E" w:rsidP="006F3C7E">
      <w:pPr>
        <w:spacing w:after="240"/>
        <w:jc w:val="both"/>
        <w:rPr>
          <w:rFonts w:ascii="Arial" w:hAnsi="Arial" w:cs="Arial"/>
          <w:lang w:eastAsia="en-US"/>
        </w:rPr>
      </w:pPr>
      <w:r w:rsidRPr="00377BBF">
        <w:rPr>
          <w:rFonts w:ascii="Arial" w:hAnsi="Arial" w:cs="Arial"/>
          <w:lang w:eastAsia="en-US"/>
        </w:rPr>
        <w:t>La suma de todos los productos que aparecen en el nomenclador debe coincidir, en el caso de los establecimientos de las empresas con la suma de las filas 1, 2, 3 y 11 del EFAE 5924; la fila 21 del EFAE 5921 y la fila 27 EFAE 5922 y para los establecimientos de las unidades presupuestadas con la sumatoria de las filas 1, 2, 3, 7 y 13 del EFUP 5914 y las filas 1, 2, 3, 7 y 12 del EFUP 5915</w:t>
      </w:r>
    </w:p>
    <w:p w:rsidR="00EA0540" w:rsidRPr="00377BBF" w:rsidRDefault="00EA0540" w:rsidP="008A707D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377BBF">
        <w:rPr>
          <w:rFonts w:ascii="Arial" w:eastAsia="Calibri" w:hAnsi="Arial" w:cs="Arial"/>
          <w:b/>
          <w:lang w:eastAsia="en-US"/>
        </w:rPr>
        <w:t>VII. ACLARACIONES</w:t>
      </w:r>
    </w:p>
    <w:p w:rsidR="006F3C7E" w:rsidRPr="00377BBF" w:rsidRDefault="006F3C7E" w:rsidP="006F3C7E">
      <w:pPr>
        <w:tabs>
          <w:tab w:val="left" w:pos="284"/>
          <w:tab w:val="left" w:pos="1800"/>
        </w:tabs>
        <w:spacing w:after="240" w:line="240" w:lineRule="auto"/>
        <w:jc w:val="both"/>
        <w:outlineLvl w:val="0"/>
        <w:rPr>
          <w:rFonts w:ascii="Arial" w:eastAsia="Calibri" w:hAnsi="Arial" w:cs="Arial"/>
          <w:u w:val="single"/>
          <w:lang w:eastAsia="en-US"/>
        </w:rPr>
      </w:pPr>
      <w:r w:rsidRPr="00377BBF">
        <w:rPr>
          <w:rFonts w:ascii="Arial" w:eastAsia="Calibri" w:hAnsi="Arial" w:cs="Arial"/>
          <w:u w:val="single"/>
          <w:lang w:eastAsia="en-US"/>
        </w:rPr>
        <w:t>Bases conceptuales.</w:t>
      </w:r>
    </w:p>
    <w:p w:rsidR="00EA0540" w:rsidRPr="00377BBF" w:rsidRDefault="00EA0540" w:rsidP="008A707D">
      <w:pPr>
        <w:numPr>
          <w:ilvl w:val="0"/>
          <w:numId w:val="6"/>
        </w:numPr>
        <w:tabs>
          <w:tab w:val="left" w:pos="1800"/>
        </w:tabs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377BBF">
        <w:rPr>
          <w:rFonts w:ascii="Arial" w:eastAsia="Calibri" w:hAnsi="Arial" w:cs="Arial"/>
        </w:rPr>
        <w:t>Todos los valores se registran en CUP</w:t>
      </w:r>
      <w:r w:rsidR="00463104" w:rsidRPr="00377BBF">
        <w:rPr>
          <w:rFonts w:ascii="Arial" w:eastAsia="Calibri" w:hAnsi="Arial" w:cs="Arial"/>
        </w:rPr>
        <w:t>,</w:t>
      </w:r>
      <w:r w:rsidRPr="00377BBF">
        <w:rPr>
          <w:rFonts w:ascii="Arial" w:eastAsia="Calibri" w:hAnsi="Arial" w:cs="Arial"/>
        </w:rPr>
        <w:t xml:space="preserve"> empleando para la conversión la tasa de cambio oficial (CUP x CUC). </w:t>
      </w:r>
    </w:p>
    <w:p w:rsidR="00EA0540" w:rsidRPr="00377BBF" w:rsidRDefault="00EA0540" w:rsidP="008A707D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  <w:lang w:eastAsia="en-US"/>
        </w:rPr>
      </w:pPr>
      <w:r w:rsidRPr="00377BBF">
        <w:rPr>
          <w:rFonts w:ascii="Arial" w:hAnsi="Arial" w:cs="Arial"/>
          <w:lang w:eastAsia="en-US"/>
        </w:rPr>
        <w:t xml:space="preserve">Las producciones que realiza </w:t>
      </w:r>
      <w:r w:rsidR="001077B2" w:rsidRPr="00377BBF">
        <w:rPr>
          <w:rFonts w:ascii="Arial" w:hAnsi="Arial" w:cs="Arial"/>
          <w:lang w:eastAsia="en-US"/>
        </w:rPr>
        <w:t>el establecimiento</w:t>
      </w:r>
      <w:r w:rsidRPr="00377BBF">
        <w:rPr>
          <w:rFonts w:ascii="Arial" w:hAnsi="Arial" w:cs="Arial"/>
          <w:lang w:eastAsia="en-US"/>
        </w:rPr>
        <w:t xml:space="preserve"> para su auto insumo se valoran por la suma de los costos de las materias primas</w:t>
      </w:r>
      <w:r w:rsidR="00775D51" w:rsidRPr="00377BBF">
        <w:rPr>
          <w:rFonts w:ascii="Arial" w:hAnsi="Arial" w:cs="Arial"/>
          <w:lang w:eastAsia="en-US"/>
        </w:rPr>
        <w:t>,</w:t>
      </w:r>
      <w:r w:rsidRPr="00377BBF">
        <w:rPr>
          <w:rFonts w:ascii="Arial" w:hAnsi="Arial" w:cs="Arial"/>
          <w:lang w:eastAsia="en-US"/>
        </w:rPr>
        <w:t xml:space="preserve"> materiales, combustibles, lubricantes y energía, utilizados durante el proceso de producción. </w:t>
      </w:r>
    </w:p>
    <w:p w:rsidR="006F3C7E" w:rsidRPr="00377BBF" w:rsidRDefault="001A21EC" w:rsidP="006F3C7E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377BBF">
        <w:rPr>
          <w:rFonts w:ascii="Arial" w:hAnsi="Arial" w:cs="Arial"/>
          <w:lang w:eastAsia="en-US"/>
        </w:rPr>
        <w:t>El valor del consumo intermedio de los productos comprados a terceros se valora</w:t>
      </w:r>
      <w:r w:rsidR="00EA0540" w:rsidRPr="00377BBF">
        <w:rPr>
          <w:rFonts w:ascii="Arial" w:hAnsi="Arial" w:cs="Arial"/>
          <w:lang w:eastAsia="en-US"/>
        </w:rPr>
        <w:t xml:space="preserve"> a</w:t>
      </w:r>
      <w:r w:rsidR="00ED7A5D" w:rsidRPr="00377BBF">
        <w:rPr>
          <w:rFonts w:ascii="Arial" w:hAnsi="Arial" w:cs="Arial"/>
          <w:lang w:eastAsia="en-US"/>
        </w:rPr>
        <w:t xml:space="preserve"> los</w:t>
      </w:r>
      <w:r w:rsidR="00EA0540" w:rsidRPr="00377BBF">
        <w:rPr>
          <w:rFonts w:ascii="Arial" w:hAnsi="Arial" w:cs="Arial"/>
          <w:lang w:eastAsia="en-US"/>
        </w:rPr>
        <w:t xml:space="preserve"> precios </w:t>
      </w:r>
      <w:r w:rsidR="00ED7A5D" w:rsidRPr="00377BBF">
        <w:rPr>
          <w:rFonts w:ascii="Arial" w:hAnsi="Arial" w:cs="Arial"/>
          <w:lang w:eastAsia="en-US"/>
        </w:rPr>
        <w:t>a los que se compran</w:t>
      </w:r>
      <w:r w:rsidR="00EA0540" w:rsidRPr="00377BBF">
        <w:rPr>
          <w:rFonts w:ascii="Arial" w:hAnsi="Arial" w:cs="Arial"/>
          <w:lang w:eastAsia="en-US"/>
        </w:rPr>
        <w:t>.</w:t>
      </w:r>
    </w:p>
    <w:p w:rsidR="006F3C7E" w:rsidRPr="00377BBF" w:rsidRDefault="006F3C7E" w:rsidP="006F3C7E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377BBF">
        <w:rPr>
          <w:rFonts w:ascii="Arial" w:hAnsi="Arial" w:cs="Arial"/>
          <w:lang w:eastAsia="en-US"/>
        </w:rPr>
        <w:t xml:space="preserve">En el caso de los otros gastos monetarios no todos los elementos de esta partida constituyen consumos intermedios, ejemplo de los que no constituyen consumos intermedios: Pagos a organismos internacionales, Reparaciones y mantenimiento de viales, Financiamiento otorgado para la compra de materiales de la construcción, Estipendio a estudiantes, Prestación a trabajadores, pago de Inspección técnica de vehículos, entre otras que determine el centro informante. </w:t>
      </w:r>
    </w:p>
    <w:p w:rsidR="00775D51" w:rsidRPr="00377BBF" w:rsidRDefault="00775D51" w:rsidP="0081286A">
      <w:pPr>
        <w:numPr>
          <w:ilvl w:val="0"/>
          <w:numId w:val="6"/>
        </w:numPr>
        <w:spacing w:after="240" w:line="240" w:lineRule="auto"/>
        <w:ind w:left="0"/>
        <w:jc w:val="both"/>
        <w:rPr>
          <w:rFonts w:ascii="Arial" w:hAnsi="Arial" w:cs="Arial"/>
        </w:rPr>
      </w:pPr>
      <w:r w:rsidRPr="00377BBF">
        <w:rPr>
          <w:rFonts w:ascii="Arial" w:hAnsi="Arial" w:cs="Arial"/>
          <w:lang w:eastAsia="en-US"/>
        </w:rPr>
        <w:t xml:space="preserve">La sumatoria del valor de los productos reportados como insumos (utilizados), debe coincidir con el total de gastos de materias primas y materiales, combustibles y lubricantes, energía y otros gastos monetarios consumidos durante el período </w:t>
      </w:r>
      <w:r w:rsidR="00765D02" w:rsidRPr="00377BBF">
        <w:rPr>
          <w:rFonts w:ascii="Arial" w:hAnsi="Arial" w:cs="Arial"/>
          <w:lang w:eastAsia="en-US"/>
        </w:rPr>
        <w:t>en la</w:t>
      </w:r>
      <w:r w:rsidRPr="00377BBF">
        <w:rPr>
          <w:rFonts w:ascii="Arial" w:hAnsi="Arial" w:cs="Arial"/>
          <w:lang w:eastAsia="en-US"/>
        </w:rPr>
        <w:t xml:space="preserve"> produc</w:t>
      </w:r>
      <w:bookmarkStart w:id="2" w:name="_GoBack"/>
      <w:bookmarkEnd w:id="2"/>
      <w:r w:rsidRPr="00377BBF">
        <w:rPr>
          <w:rFonts w:ascii="Arial" w:hAnsi="Arial" w:cs="Arial"/>
          <w:lang w:eastAsia="en-US"/>
        </w:rPr>
        <w:t>ción</w:t>
      </w:r>
      <w:r w:rsidR="00765D02" w:rsidRPr="00377BBF">
        <w:rPr>
          <w:rFonts w:ascii="Arial" w:hAnsi="Arial" w:cs="Arial"/>
          <w:lang w:eastAsia="en-US"/>
        </w:rPr>
        <w:t>.</w:t>
      </w:r>
      <w:r w:rsidRPr="00377BBF">
        <w:rPr>
          <w:rFonts w:ascii="Arial" w:hAnsi="Arial" w:cs="Arial"/>
          <w:lang w:eastAsia="en-US"/>
        </w:rPr>
        <w:t xml:space="preserve"> </w:t>
      </w:r>
    </w:p>
    <w:sectPr w:rsidR="00775D51" w:rsidRPr="00377BBF" w:rsidSect="00773E28">
      <w:footerReference w:type="default" r:id="rId8"/>
      <w:type w:val="continuous"/>
      <w:pgSz w:w="12240" w:h="15840" w:code="1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12A" w:rsidRDefault="0063312A" w:rsidP="0026337E">
      <w:pPr>
        <w:spacing w:after="0" w:line="240" w:lineRule="auto"/>
      </w:pPr>
      <w:r>
        <w:separator/>
      </w:r>
    </w:p>
  </w:endnote>
  <w:endnote w:type="continuationSeparator" w:id="0">
    <w:p w:rsidR="0063312A" w:rsidRDefault="0063312A" w:rsidP="00263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6504320"/>
      <w:docPartObj>
        <w:docPartGallery w:val="Page Numbers (Bottom of Page)"/>
        <w:docPartUnique/>
      </w:docPartObj>
    </w:sdtPr>
    <w:sdtEndPr/>
    <w:sdtContent>
      <w:p w:rsidR="0026337E" w:rsidRDefault="00F5071E">
        <w:pPr>
          <w:pStyle w:val="Piedepgina"/>
          <w:jc w:val="right"/>
        </w:pPr>
        <w:r>
          <w:fldChar w:fldCharType="begin"/>
        </w:r>
        <w:r w:rsidR="0026337E">
          <w:instrText>PAGE   \* MERGEFORMAT</w:instrText>
        </w:r>
        <w:r>
          <w:fldChar w:fldCharType="separate"/>
        </w:r>
        <w:r w:rsidR="00377BBF">
          <w:rPr>
            <w:noProof/>
          </w:rPr>
          <w:t>1</w:t>
        </w:r>
        <w:r>
          <w:fldChar w:fldCharType="end"/>
        </w:r>
      </w:p>
    </w:sdtContent>
  </w:sdt>
  <w:p w:rsidR="0026337E" w:rsidRPr="00377BBF" w:rsidRDefault="0026337E" w:rsidP="0026337E">
    <w:pPr>
      <w:pStyle w:val="Piedepgina"/>
      <w:jc w:val="center"/>
      <w:rPr>
        <w:rFonts w:ascii="Arial" w:hAnsi="Arial" w:cs="Arial"/>
        <w:sz w:val="20"/>
        <w:szCs w:val="20"/>
      </w:rPr>
    </w:pPr>
    <w:r w:rsidRPr="0026337E">
      <w:rPr>
        <w:rFonts w:ascii="Arial" w:hAnsi="Arial" w:cs="Arial"/>
        <w:sz w:val="20"/>
        <w:szCs w:val="20"/>
      </w:rPr>
      <w:t xml:space="preserve">Formulario </w:t>
    </w:r>
    <w:r w:rsidR="00A23D23">
      <w:rPr>
        <w:rFonts w:ascii="Arial" w:hAnsi="Arial" w:cs="Arial"/>
        <w:sz w:val="20"/>
        <w:szCs w:val="20"/>
      </w:rPr>
      <w:t xml:space="preserve">T </w:t>
    </w:r>
    <w:r w:rsidRPr="0026337E">
      <w:rPr>
        <w:rFonts w:ascii="Arial" w:hAnsi="Arial" w:cs="Arial"/>
        <w:sz w:val="20"/>
        <w:szCs w:val="20"/>
      </w:rPr>
      <w:t>1</w:t>
    </w:r>
    <w:r w:rsidR="00A23D23">
      <w:rPr>
        <w:rFonts w:ascii="Arial" w:hAnsi="Arial" w:cs="Arial"/>
        <w:sz w:val="20"/>
        <w:szCs w:val="20"/>
      </w:rPr>
      <w:t>3</w:t>
    </w:r>
    <w:r w:rsidRPr="0026337E">
      <w:rPr>
        <w:rFonts w:ascii="Arial" w:hAnsi="Arial" w:cs="Arial"/>
        <w:sz w:val="20"/>
        <w:szCs w:val="20"/>
      </w:rPr>
      <w:t>-</w:t>
    </w:r>
    <w:r w:rsidRPr="00377BBF">
      <w:rPr>
        <w:rFonts w:ascii="Arial" w:hAnsi="Arial" w:cs="Arial"/>
        <w:sz w:val="20"/>
        <w:szCs w:val="20"/>
      </w:rPr>
      <w:t>0</w:t>
    </w:r>
    <w:r w:rsidR="00F70CFF" w:rsidRPr="00377BBF">
      <w:rPr>
        <w:rFonts w:ascii="Arial" w:hAnsi="Arial" w:cs="Arial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12A" w:rsidRDefault="0063312A" w:rsidP="0026337E">
      <w:pPr>
        <w:spacing w:after="0" w:line="240" w:lineRule="auto"/>
      </w:pPr>
      <w:r>
        <w:separator/>
      </w:r>
    </w:p>
  </w:footnote>
  <w:footnote w:type="continuationSeparator" w:id="0">
    <w:p w:rsidR="0063312A" w:rsidRDefault="0063312A" w:rsidP="00263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6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10C"/>
    <w:rsid w:val="000032C8"/>
    <w:rsid w:val="00004FEC"/>
    <w:rsid w:val="00022CFD"/>
    <w:rsid w:val="000274F3"/>
    <w:rsid w:val="00027872"/>
    <w:rsid w:val="000302CF"/>
    <w:rsid w:val="00040A74"/>
    <w:rsid w:val="00053C8D"/>
    <w:rsid w:val="0007353F"/>
    <w:rsid w:val="000751EE"/>
    <w:rsid w:val="00090105"/>
    <w:rsid w:val="00091986"/>
    <w:rsid w:val="00097CC7"/>
    <w:rsid w:val="000A3D28"/>
    <w:rsid w:val="000E1589"/>
    <w:rsid w:val="000F1B62"/>
    <w:rsid w:val="000F2361"/>
    <w:rsid w:val="000F6083"/>
    <w:rsid w:val="00103651"/>
    <w:rsid w:val="001077B2"/>
    <w:rsid w:val="001305D7"/>
    <w:rsid w:val="00142AB3"/>
    <w:rsid w:val="00143D93"/>
    <w:rsid w:val="001440F5"/>
    <w:rsid w:val="00164357"/>
    <w:rsid w:val="00180A87"/>
    <w:rsid w:val="001A21EC"/>
    <w:rsid w:val="001A51E3"/>
    <w:rsid w:val="001B60FB"/>
    <w:rsid w:val="001C03E3"/>
    <w:rsid w:val="001D6DB1"/>
    <w:rsid w:val="001E3015"/>
    <w:rsid w:val="00200F85"/>
    <w:rsid w:val="00201D36"/>
    <w:rsid w:val="00202EC4"/>
    <w:rsid w:val="00203A90"/>
    <w:rsid w:val="002155B9"/>
    <w:rsid w:val="00223498"/>
    <w:rsid w:val="002255D3"/>
    <w:rsid w:val="00226DA4"/>
    <w:rsid w:val="00242993"/>
    <w:rsid w:val="00243EE7"/>
    <w:rsid w:val="00255D60"/>
    <w:rsid w:val="0026337E"/>
    <w:rsid w:val="00271109"/>
    <w:rsid w:val="00281FB6"/>
    <w:rsid w:val="002903B3"/>
    <w:rsid w:val="00290D2D"/>
    <w:rsid w:val="00293CF8"/>
    <w:rsid w:val="00295847"/>
    <w:rsid w:val="00295F38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045A"/>
    <w:rsid w:val="00331113"/>
    <w:rsid w:val="00347139"/>
    <w:rsid w:val="00353E1A"/>
    <w:rsid w:val="00355E7F"/>
    <w:rsid w:val="003647CC"/>
    <w:rsid w:val="00367D6C"/>
    <w:rsid w:val="00376749"/>
    <w:rsid w:val="00377BBF"/>
    <w:rsid w:val="00384038"/>
    <w:rsid w:val="003917B3"/>
    <w:rsid w:val="003961F7"/>
    <w:rsid w:val="00396629"/>
    <w:rsid w:val="003B4D08"/>
    <w:rsid w:val="003B7DC5"/>
    <w:rsid w:val="003C2778"/>
    <w:rsid w:val="003E46AE"/>
    <w:rsid w:val="003F5A01"/>
    <w:rsid w:val="0040431B"/>
    <w:rsid w:val="0041665D"/>
    <w:rsid w:val="004278C7"/>
    <w:rsid w:val="00427B4A"/>
    <w:rsid w:val="004347D2"/>
    <w:rsid w:val="00442FFB"/>
    <w:rsid w:val="00446616"/>
    <w:rsid w:val="00450709"/>
    <w:rsid w:val="00460241"/>
    <w:rsid w:val="00463104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665E"/>
    <w:rsid w:val="005877C0"/>
    <w:rsid w:val="005A3207"/>
    <w:rsid w:val="005A61AD"/>
    <w:rsid w:val="005A7893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3559"/>
    <w:rsid w:val="0063312A"/>
    <w:rsid w:val="00636E52"/>
    <w:rsid w:val="0064334D"/>
    <w:rsid w:val="0065608F"/>
    <w:rsid w:val="0065714F"/>
    <w:rsid w:val="0067234C"/>
    <w:rsid w:val="0068233F"/>
    <w:rsid w:val="0068493C"/>
    <w:rsid w:val="00691E84"/>
    <w:rsid w:val="006948DA"/>
    <w:rsid w:val="006961FF"/>
    <w:rsid w:val="006A3C22"/>
    <w:rsid w:val="006D3E0A"/>
    <w:rsid w:val="006F2C86"/>
    <w:rsid w:val="006F3C7E"/>
    <w:rsid w:val="006F5C13"/>
    <w:rsid w:val="00706093"/>
    <w:rsid w:val="007154CA"/>
    <w:rsid w:val="00725EA5"/>
    <w:rsid w:val="00754984"/>
    <w:rsid w:val="00755AAF"/>
    <w:rsid w:val="00757561"/>
    <w:rsid w:val="0076038A"/>
    <w:rsid w:val="00763192"/>
    <w:rsid w:val="00763919"/>
    <w:rsid w:val="00765D02"/>
    <w:rsid w:val="00773E28"/>
    <w:rsid w:val="00775D51"/>
    <w:rsid w:val="00776883"/>
    <w:rsid w:val="00795456"/>
    <w:rsid w:val="007A6D66"/>
    <w:rsid w:val="007A789A"/>
    <w:rsid w:val="007C2803"/>
    <w:rsid w:val="007C71B9"/>
    <w:rsid w:val="007C7C39"/>
    <w:rsid w:val="007D5C08"/>
    <w:rsid w:val="007E5EC0"/>
    <w:rsid w:val="007F0300"/>
    <w:rsid w:val="007F1DDA"/>
    <w:rsid w:val="007F5B8D"/>
    <w:rsid w:val="007F6131"/>
    <w:rsid w:val="00801DAC"/>
    <w:rsid w:val="00801E66"/>
    <w:rsid w:val="008060C4"/>
    <w:rsid w:val="00810FDD"/>
    <w:rsid w:val="008205A0"/>
    <w:rsid w:val="00830857"/>
    <w:rsid w:val="008329CA"/>
    <w:rsid w:val="00835ECD"/>
    <w:rsid w:val="008452DE"/>
    <w:rsid w:val="008507E1"/>
    <w:rsid w:val="008562B6"/>
    <w:rsid w:val="00860BD7"/>
    <w:rsid w:val="008649D2"/>
    <w:rsid w:val="00870982"/>
    <w:rsid w:val="00874911"/>
    <w:rsid w:val="00880423"/>
    <w:rsid w:val="00893673"/>
    <w:rsid w:val="00895F79"/>
    <w:rsid w:val="008A707D"/>
    <w:rsid w:val="008B7188"/>
    <w:rsid w:val="008C4968"/>
    <w:rsid w:val="008D7F5F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A1AE8"/>
    <w:rsid w:val="009A274F"/>
    <w:rsid w:val="009B09A4"/>
    <w:rsid w:val="009B6593"/>
    <w:rsid w:val="009C5798"/>
    <w:rsid w:val="009C6367"/>
    <w:rsid w:val="00A06C2F"/>
    <w:rsid w:val="00A20D32"/>
    <w:rsid w:val="00A22225"/>
    <w:rsid w:val="00A23D23"/>
    <w:rsid w:val="00A45050"/>
    <w:rsid w:val="00A630E1"/>
    <w:rsid w:val="00A63A73"/>
    <w:rsid w:val="00A67716"/>
    <w:rsid w:val="00A7573D"/>
    <w:rsid w:val="00A83572"/>
    <w:rsid w:val="00A8727D"/>
    <w:rsid w:val="00A93C88"/>
    <w:rsid w:val="00AA018D"/>
    <w:rsid w:val="00AA210C"/>
    <w:rsid w:val="00AA2C3B"/>
    <w:rsid w:val="00AA4481"/>
    <w:rsid w:val="00AB0F29"/>
    <w:rsid w:val="00AB5F70"/>
    <w:rsid w:val="00AC72F4"/>
    <w:rsid w:val="00AD4404"/>
    <w:rsid w:val="00AD5495"/>
    <w:rsid w:val="00AF394E"/>
    <w:rsid w:val="00AF3D3D"/>
    <w:rsid w:val="00B03B46"/>
    <w:rsid w:val="00B048CA"/>
    <w:rsid w:val="00B17FDB"/>
    <w:rsid w:val="00B2344E"/>
    <w:rsid w:val="00B23AC7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52CD"/>
    <w:rsid w:val="00BA7846"/>
    <w:rsid w:val="00BB2559"/>
    <w:rsid w:val="00BB53CA"/>
    <w:rsid w:val="00BC04C0"/>
    <w:rsid w:val="00BE5D2C"/>
    <w:rsid w:val="00BF2C0C"/>
    <w:rsid w:val="00C05254"/>
    <w:rsid w:val="00C57EA5"/>
    <w:rsid w:val="00C768E8"/>
    <w:rsid w:val="00C9405E"/>
    <w:rsid w:val="00CA2FE4"/>
    <w:rsid w:val="00CA5550"/>
    <w:rsid w:val="00CB01E3"/>
    <w:rsid w:val="00CB6A21"/>
    <w:rsid w:val="00CC160A"/>
    <w:rsid w:val="00CC61C8"/>
    <w:rsid w:val="00CE0644"/>
    <w:rsid w:val="00CE22AB"/>
    <w:rsid w:val="00CE3BE8"/>
    <w:rsid w:val="00CF1A75"/>
    <w:rsid w:val="00D01421"/>
    <w:rsid w:val="00D469CB"/>
    <w:rsid w:val="00D6675B"/>
    <w:rsid w:val="00D731F0"/>
    <w:rsid w:val="00D85E99"/>
    <w:rsid w:val="00D86592"/>
    <w:rsid w:val="00D90A67"/>
    <w:rsid w:val="00D90F3F"/>
    <w:rsid w:val="00D9171B"/>
    <w:rsid w:val="00D932B1"/>
    <w:rsid w:val="00D94A58"/>
    <w:rsid w:val="00D95C4F"/>
    <w:rsid w:val="00DA077E"/>
    <w:rsid w:val="00DA7770"/>
    <w:rsid w:val="00DC4C02"/>
    <w:rsid w:val="00DD5D8A"/>
    <w:rsid w:val="00DE0294"/>
    <w:rsid w:val="00DE4ED4"/>
    <w:rsid w:val="00DE58D6"/>
    <w:rsid w:val="00DE6D0F"/>
    <w:rsid w:val="00E062DA"/>
    <w:rsid w:val="00E376C9"/>
    <w:rsid w:val="00E41F75"/>
    <w:rsid w:val="00E45307"/>
    <w:rsid w:val="00E4723E"/>
    <w:rsid w:val="00E53A22"/>
    <w:rsid w:val="00E6048F"/>
    <w:rsid w:val="00E75872"/>
    <w:rsid w:val="00E86CB4"/>
    <w:rsid w:val="00E87DBF"/>
    <w:rsid w:val="00E901B2"/>
    <w:rsid w:val="00EA0540"/>
    <w:rsid w:val="00EA6C0D"/>
    <w:rsid w:val="00EB311A"/>
    <w:rsid w:val="00EC0847"/>
    <w:rsid w:val="00EC713B"/>
    <w:rsid w:val="00ED7A5D"/>
    <w:rsid w:val="00EE4CDD"/>
    <w:rsid w:val="00EE709F"/>
    <w:rsid w:val="00F261CD"/>
    <w:rsid w:val="00F3186F"/>
    <w:rsid w:val="00F321B0"/>
    <w:rsid w:val="00F37D66"/>
    <w:rsid w:val="00F5071E"/>
    <w:rsid w:val="00F54076"/>
    <w:rsid w:val="00F6252C"/>
    <w:rsid w:val="00F652E7"/>
    <w:rsid w:val="00F6607C"/>
    <w:rsid w:val="00F67968"/>
    <w:rsid w:val="00F70CFF"/>
    <w:rsid w:val="00F74823"/>
    <w:rsid w:val="00F75286"/>
    <w:rsid w:val="00F759D4"/>
    <w:rsid w:val="00F77BEC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B0A3C-1F57-446A-BAFC-AAEE7C5D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337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263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7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MariaElena</cp:lastModifiedBy>
  <cp:revision>2</cp:revision>
  <cp:lastPrinted>2018-11-02T19:43:00Z</cp:lastPrinted>
  <dcterms:created xsi:type="dcterms:W3CDTF">2020-12-04T18:16:00Z</dcterms:created>
  <dcterms:modified xsi:type="dcterms:W3CDTF">2020-12-04T18:16:00Z</dcterms:modified>
</cp:coreProperties>
</file>